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AF" w:rsidRPr="00821BD0" w:rsidRDefault="00B265F9" w:rsidP="000A1FB6">
      <w:pPr>
        <w:spacing w:after="0" w:line="240" w:lineRule="auto"/>
        <w:jc w:val="center"/>
        <w:rPr>
          <w:rFonts w:cstheme="minorHAnsi"/>
          <w:b/>
          <w:sz w:val="20"/>
          <w:szCs w:val="20"/>
        </w:rPr>
      </w:pPr>
      <w:r w:rsidRPr="00821BD0">
        <w:rPr>
          <w:rFonts w:cstheme="minorHAnsi"/>
          <w:b/>
          <w:sz w:val="20"/>
          <w:szCs w:val="20"/>
        </w:rPr>
        <w:t>JOB DESCRIPTION</w:t>
      </w:r>
      <w:r w:rsidRPr="00821BD0">
        <w:rPr>
          <w:rFonts w:cstheme="minorHAnsi"/>
          <w:b/>
          <w:sz w:val="20"/>
          <w:szCs w:val="20"/>
        </w:rPr>
        <w:br/>
      </w:r>
      <w:r w:rsidR="00952927" w:rsidRPr="00821BD0">
        <w:rPr>
          <w:rFonts w:cstheme="minorHAnsi"/>
          <w:b/>
          <w:sz w:val="20"/>
          <w:szCs w:val="20"/>
        </w:rPr>
        <w:t>ACADEMIC COORDINATOR</w:t>
      </w:r>
      <w:r w:rsidRPr="00821BD0">
        <w:rPr>
          <w:rFonts w:cstheme="minorHAnsi"/>
          <w:b/>
          <w:sz w:val="20"/>
          <w:szCs w:val="20"/>
        </w:rPr>
        <w:t xml:space="preserve"> SERIES</w:t>
      </w:r>
      <w:r w:rsidR="00167526" w:rsidRPr="00821BD0">
        <w:rPr>
          <w:rFonts w:cstheme="minorHAnsi"/>
          <w:b/>
          <w:sz w:val="20"/>
          <w:szCs w:val="20"/>
        </w:rPr>
        <w:t xml:space="preserve"> (Levels I-III)</w:t>
      </w:r>
    </w:p>
    <w:p w:rsidR="000A1FB6" w:rsidRPr="00821BD0" w:rsidRDefault="000A1FB6" w:rsidP="000A1FB6">
      <w:pPr>
        <w:spacing w:after="0" w:line="240" w:lineRule="auto"/>
        <w:jc w:val="center"/>
        <w:rPr>
          <w:rFonts w:cstheme="minorHAnsi"/>
          <w:b/>
          <w:sz w:val="20"/>
          <w:szCs w:val="20"/>
        </w:rPr>
      </w:pPr>
      <w:r w:rsidRPr="00821BD0">
        <w:rPr>
          <w:rFonts w:cstheme="minorHAnsi"/>
          <w:b/>
          <w:sz w:val="20"/>
          <w:szCs w:val="20"/>
        </w:rPr>
        <w:t>(APM 375)</w:t>
      </w:r>
    </w:p>
    <w:p w:rsidR="000A1FB6" w:rsidRPr="00821BD0" w:rsidRDefault="000A1FB6" w:rsidP="000A1FB6">
      <w:pPr>
        <w:spacing w:after="0" w:line="240" w:lineRule="auto"/>
        <w:jc w:val="center"/>
        <w:rPr>
          <w:rFonts w:cstheme="minorHAnsi"/>
          <w:b/>
          <w:sz w:val="20"/>
          <w:szCs w:val="20"/>
        </w:rPr>
      </w:pPr>
    </w:p>
    <w:p w:rsidR="00B265F9" w:rsidRPr="00821BD0" w:rsidRDefault="00821BD0" w:rsidP="000A1FB6">
      <w:pPr>
        <w:spacing w:after="0" w:line="240" w:lineRule="auto"/>
        <w:rPr>
          <w:rFonts w:cstheme="minorHAnsi"/>
          <w:sz w:val="20"/>
          <w:szCs w:val="20"/>
        </w:rPr>
      </w:pPr>
      <w:r w:rsidRPr="00821BD0">
        <w:rPr>
          <w:rFonts w:cstheme="minorHAnsi"/>
          <w:b/>
          <w:sz w:val="20"/>
          <w:szCs w:val="20"/>
        </w:rPr>
        <w:t>CANDIDATE’S NAME</w:t>
      </w:r>
      <w:r w:rsidRPr="00821BD0">
        <w:rPr>
          <w:rFonts w:cstheme="minorHAnsi"/>
          <w:sz w:val="20"/>
          <w:szCs w:val="20"/>
        </w:rPr>
        <w:t xml:space="preserve">: </w:t>
      </w:r>
      <w:r w:rsidRPr="00821BD0">
        <w:rPr>
          <w:rFonts w:cstheme="minorHAnsi"/>
          <w:sz w:val="20"/>
          <w:szCs w:val="20"/>
        </w:rPr>
        <w:fldChar w:fldCharType="begin">
          <w:ffData>
            <w:name w:val="Text37"/>
            <w:enabled/>
            <w:calcOnExit w:val="0"/>
            <w:textInput/>
          </w:ffData>
        </w:fldChar>
      </w:r>
      <w:r w:rsidRPr="00821BD0">
        <w:rPr>
          <w:rFonts w:cstheme="minorHAnsi"/>
          <w:sz w:val="20"/>
          <w:szCs w:val="20"/>
        </w:rPr>
        <w:instrText xml:space="preserve"> FORMTEXT </w:instrText>
      </w:r>
      <w:r w:rsidRPr="00821BD0">
        <w:rPr>
          <w:rFonts w:cstheme="minorHAnsi"/>
          <w:sz w:val="20"/>
          <w:szCs w:val="20"/>
        </w:rPr>
      </w:r>
      <w:r w:rsidRPr="00821BD0">
        <w:rPr>
          <w:rFonts w:cstheme="minorHAnsi"/>
          <w:sz w:val="20"/>
          <w:szCs w:val="20"/>
        </w:rPr>
        <w:fldChar w:fldCharType="separate"/>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fldChar w:fldCharType="end"/>
      </w:r>
      <w:r w:rsidRPr="00821BD0">
        <w:rPr>
          <w:rFonts w:cstheme="minorHAnsi"/>
          <w:sz w:val="20"/>
          <w:szCs w:val="20"/>
        </w:rPr>
        <w:br/>
      </w:r>
      <w:r w:rsidRPr="00821BD0">
        <w:rPr>
          <w:rFonts w:cstheme="minorHAnsi"/>
          <w:b/>
          <w:sz w:val="20"/>
          <w:szCs w:val="20"/>
        </w:rPr>
        <w:t>LEVEL</w:t>
      </w:r>
      <w:r w:rsidRPr="00821BD0">
        <w:rPr>
          <w:rFonts w:cstheme="minorHAnsi"/>
          <w:sz w:val="20"/>
          <w:szCs w:val="20"/>
        </w:rPr>
        <w:t xml:space="preserve">: </w:t>
      </w:r>
      <w:r w:rsidRPr="00821BD0">
        <w:rPr>
          <w:rFonts w:cstheme="minorHAnsi"/>
          <w:sz w:val="20"/>
          <w:szCs w:val="20"/>
        </w:rPr>
        <w:fldChar w:fldCharType="begin">
          <w:ffData>
            <w:name w:val="Text37"/>
            <w:enabled/>
            <w:calcOnExit w:val="0"/>
            <w:textInput/>
          </w:ffData>
        </w:fldChar>
      </w:r>
      <w:r w:rsidRPr="00821BD0">
        <w:rPr>
          <w:rFonts w:cstheme="minorHAnsi"/>
          <w:sz w:val="20"/>
          <w:szCs w:val="20"/>
        </w:rPr>
        <w:instrText xml:space="preserve"> FORMTEXT </w:instrText>
      </w:r>
      <w:r w:rsidRPr="00821BD0">
        <w:rPr>
          <w:rFonts w:cstheme="minorHAnsi"/>
          <w:sz w:val="20"/>
          <w:szCs w:val="20"/>
        </w:rPr>
      </w:r>
      <w:r w:rsidRPr="00821BD0">
        <w:rPr>
          <w:rFonts w:cstheme="minorHAnsi"/>
          <w:sz w:val="20"/>
          <w:szCs w:val="20"/>
        </w:rPr>
        <w:fldChar w:fldCharType="separate"/>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fldChar w:fldCharType="end"/>
      </w:r>
      <w:r w:rsidRPr="00821BD0">
        <w:rPr>
          <w:rFonts w:cstheme="minorHAnsi"/>
          <w:sz w:val="20"/>
          <w:szCs w:val="20"/>
        </w:rPr>
        <w:br/>
      </w:r>
      <w:r w:rsidRPr="00821BD0">
        <w:rPr>
          <w:rFonts w:cstheme="minorHAnsi"/>
          <w:b/>
          <w:sz w:val="20"/>
          <w:szCs w:val="20"/>
        </w:rPr>
        <w:t>SUPERVISOR’S NAME</w:t>
      </w:r>
      <w:r w:rsidRPr="00821BD0">
        <w:rPr>
          <w:rFonts w:cstheme="minorHAnsi"/>
          <w:sz w:val="20"/>
          <w:szCs w:val="20"/>
        </w:rPr>
        <w:t xml:space="preserve">: </w:t>
      </w:r>
      <w:r w:rsidRPr="00821BD0">
        <w:rPr>
          <w:rFonts w:cstheme="minorHAnsi"/>
          <w:sz w:val="20"/>
          <w:szCs w:val="20"/>
        </w:rPr>
        <w:fldChar w:fldCharType="begin">
          <w:ffData>
            <w:name w:val="Text37"/>
            <w:enabled/>
            <w:calcOnExit w:val="0"/>
            <w:textInput/>
          </w:ffData>
        </w:fldChar>
      </w:r>
      <w:r w:rsidRPr="00821BD0">
        <w:rPr>
          <w:rFonts w:cstheme="minorHAnsi"/>
          <w:sz w:val="20"/>
          <w:szCs w:val="20"/>
        </w:rPr>
        <w:instrText xml:space="preserve"> FORMTEXT </w:instrText>
      </w:r>
      <w:r w:rsidRPr="00821BD0">
        <w:rPr>
          <w:rFonts w:cstheme="minorHAnsi"/>
          <w:sz w:val="20"/>
          <w:szCs w:val="20"/>
        </w:rPr>
      </w:r>
      <w:r w:rsidRPr="00821BD0">
        <w:rPr>
          <w:rFonts w:cstheme="minorHAnsi"/>
          <w:sz w:val="20"/>
          <w:szCs w:val="20"/>
        </w:rPr>
        <w:fldChar w:fldCharType="separate"/>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t> </w:t>
      </w:r>
      <w:r w:rsidRPr="00821BD0">
        <w:rPr>
          <w:rFonts w:cstheme="minorHAnsi"/>
          <w:sz w:val="20"/>
          <w:szCs w:val="20"/>
        </w:rPr>
        <w:fldChar w:fldCharType="end"/>
      </w:r>
      <w:r w:rsidR="002D35B9" w:rsidRPr="00821BD0">
        <w:rPr>
          <w:rFonts w:cstheme="minorHAnsi"/>
          <w:sz w:val="20"/>
          <w:szCs w:val="20"/>
        </w:rPr>
        <w:br/>
      </w:r>
    </w:p>
    <w:p w:rsidR="00A5634F" w:rsidRPr="00821BD0" w:rsidRDefault="00A5634F" w:rsidP="00821BD0">
      <w:pPr>
        <w:spacing w:after="0" w:line="240" w:lineRule="auto"/>
        <w:jc w:val="both"/>
        <w:rPr>
          <w:rFonts w:cstheme="minorHAnsi"/>
          <w:i/>
          <w:sz w:val="20"/>
          <w:szCs w:val="20"/>
        </w:rPr>
      </w:pPr>
      <w:r w:rsidRPr="00821BD0">
        <w:rPr>
          <w:rFonts w:cstheme="minorHAnsi"/>
          <w:b/>
          <w:i/>
          <w:sz w:val="20"/>
          <w:szCs w:val="20"/>
        </w:rPr>
        <w:t xml:space="preserve">Definition </w:t>
      </w:r>
      <w:r w:rsidR="007E53EC" w:rsidRPr="00821BD0">
        <w:rPr>
          <w:rFonts w:cstheme="minorHAnsi"/>
          <w:b/>
          <w:i/>
          <w:sz w:val="20"/>
          <w:szCs w:val="20"/>
        </w:rPr>
        <w:t>of Title</w:t>
      </w:r>
      <w:r w:rsidR="007E53EC" w:rsidRPr="00821BD0">
        <w:rPr>
          <w:rFonts w:cstheme="minorHAnsi"/>
          <w:i/>
          <w:sz w:val="20"/>
          <w:szCs w:val="20"/>
        </w:rPr>
        <w:t xml:space="preserve"> (</w:t>
      </w:r>
      <w:r w:rsidRPr="00821BD0">
        <w:rPr>
          <w:rFonts w:cstheme="minorHAnsi"/>
          <w:i/>
          <w:sz w:val="20"/>
          <w:szCs w:val="20"/>
        </w:rPr>
        <w:t>APM 375</w:t>
      </w:r>
      <w:r w:rsidR="007E53EC" w:rsidRPr="00821BD0">
        <w:rPr>
          <w:rFonts w:cstheme="minorHAnsi"/>
          <w:i/>
          <w:sz w:val="20"/>
          <w:szCs w:val="20"/>
        </w:rPr>
        <w:t>)</w:t>
      </w:r>
      <w:r w:rsidRPr="00821BD0">
        <w:rPr>
          <w:rFonts w:cstheme="minorHAnsi"/>
          <w:i/>
          <w:sz w:val="20"/>
          <w:szCs w:val="20"/>
        </w:rPr>
        <w:t>:  academic appointees who administer academic programs that provide service closely related to the teaching or research mission of the University.  This service may be provided to academic departments, to students, or to the general public.  Their duties are primarily administrative.</w:t>
      </w:r>
    </w:p>
    <w:p w:rsidR="000A1FB6" w:rsidRPr="00821BD0" w:rsidRDefault="000A1FB6" w:rsidP="000A1FB6">
      <w:pPr>
        <w:spacing w:after="0" w:line="240" w:lineRule="auto"/>
        <w:rPr>
          <w:rFonts w:cstheme="minorHAnsi"/>
          <w:sz w:val="20"/>
          <w:szCs w:val="20"/>
        </w:rPr>
      </w:pPr>
    </w:p>
    <w:p w:rsidR="00B265F9" w:rsidRPr="00821BD0" w:rsidRDefault="00B265F9" w:rsidP="000A1FB6">
      <w:pPr>
        <w:spacing w:after="0" w:line="240" w:lineRule="auto"/>
        <w:rPr>
          <w:rFonts w:cstheme="minorHAnsi"/>
          <w:b/>
          <w:color w:val="FF0000"/>
          <w:sz w:val="20"/>
          <w:szCs w:val="20"/>
        </w:rPr>
      </w:pPr>
      <w:r w:rsidRPr="00821BD0">
        <w:rPr>
          <w:rFonts w:cstheme="minorHAnsi"/>
          <w:b/>
          <w:color w:val="FF0000"/>
          <w:sz w:val="20"/>
          <w:szCs w:val="20"/>
          <w:u w:val="single"/>
        </w:rPr>
        <w:t xml:space="preserve">CRITERIA FOR APPOINTMENT </w:t>
      </w:r>
      <w:r w:rsidR="00A5634F" w:rsidRPr="00821BD0">
        <w:rPr>
          <w:rFonts w:cstheme="minorHAnsi"/>
          <w:b/>
          <w:color w:val="FF0000"/>
          <w:sz w:val="20"/>
          <w:szCs w:val="20"/>
          <w:u w:val="single"/>
        </w:rPr>
        <w:t>TO TITLES AT ALL LEVELS (refer to APM 375 for criteria for appointment to a specific level</w:t>
      </w:r>
      <w:r w:rsidR="007E53EC" w:rsidRPr="00821BD0">
        <w:rPr>
          <w:rFonts w:cstheme="minorHAnsi"/>
          <w:b/>
          <w:color w:val="FF0000"/>
          <w:sz w:val="20"/>
          <w:szCs w:val="20"/>
          <w:u w:val="single"/>
        </w:rPr>
        <w:t xml:space="preserve"> – address both areas</w:t>
      </w:r>
      <w:r w:rsidR="00A5634F" w:rsidRPr="00821BD0">
        <w:rPr>
          <w:rFonts w:cstheme="minorHAnsi"/>
          <w:b/>
          <w:color w:val="FF0000"/>
          <w:sz w:val="20"/>
          <w:szCs w:val="20"/>
          <w:u w:val="single"/>
        </w:rPr>
        <w:t>)</w:t>
      </w:r>
      <w:r w:rsidRPr="00821BD0">
        <w:rPr>
          <w:rFonts w:cstheme="minorHAnsi"/>
          <w:b/>
          <w:color w:val="FF0000"/>
          <w:sz w:val="20"/>
          <w:szCs w:val="20"/>
        </w:rPr>
        <w:t>:</w:t>
      </w:r>
    </w:p>
    <w:p w:rsidR="000A1FB6" w:rsidRPr="00821BD0" w:rsidRDefault="000A1FB6" w:rsidP="000A1FB6">
      <w:pPr>
        <w:spacing w:after="0" w:line="240" w:lineRule="auto"/>
        <w:rPr>
          <w:rFonts w:cstheme="minorHAnsi"/>
          <w:b/>
          <w:sz w:val="20"/>
          <w:szCs w:val="20"/>
        </w:rPr>
      </w:pPr>
    </w:p>
    <w:p w:rsidR="00B265F9" w:rsidRDefault="00A5634F" w:rsidP="00F24233">
      <w:pPr>
        <w:pStyle w:val="ListParagraph"/>
        <w:numPr>
          <w:ilvl w:val="0"/>
          <w:numId w:val="1"/>
        </w:numPr>
        <w:spacing w:after="0" w:line="240" w:lineRule="auto"/>
        <w:rPr>
          <w:rFonts w:cstheme="minorHAnsi"/>
          <w:sz w:val="20"/>
          <w:szCs w:val="20"/>
        </w:rPr>
      </w:pPr>
      <w:r w:rsidRPr="00821BD0">
        <w:rPr>
          <w:rFonts w:cstheme="minorHAnsi"/>
          <w:sz w:val="20"/>
          <w:szCs w:val="20"/>
        </w:rPr>
        <w:t>Academic appointees must have a professional background of academic training and/or experience:</w:t>
      </w:r>
    </w:p>
    <w:p w:rsidR="00821BD0" w:rsidRPr="00821BD0" w:rsidRDefault="00821BD0" w:rsidP="00821BD0">
      <w:pPr>
        <w:pStyle w:val="ListParagraph"/>
        <w:spacing w:after="0" w:line="240" w:lineRule="auto"/>
        <w:ind w:left="360"/>
        <w:rPr>
          <w:rFonts w:cstheme="minorHAnsi"/>
          <w:sz w:val="20"/>
          <w:szCs w:val="20"/>
        </w:rPr>
      </w:pPr>
      <w:r w:rsidRPr="008D6F84">
        <w:rPr>
          <w:rFonts w:cstheme="minorHAnsi"/>
          <w:sz w:val="20"/>
          <w:szCs w:val="20"/>
        </w:rPr>
        <w:fldChar w:fldCharType="begin">
          <w:ffData>
            <w:name w:val="Text37"/>
            <w:enabled/>
            <w:calcOnExit w:val="0"/>
            <w:textInput/>
          </w:ffData>
        </w:fldChar>
      </w:r>
      <w:r w:rsidRPr="008D6F84">
        <w:rPr>
          <w:rFonts w:cstheme="minorHAnsi"/>
          <w:sz w:val="20"/>
          <w:szCs w:val="20"/>
        </w:rPr>
        <w:instrText xml:space="preserve"> FORMTEXT </w:instrText>
      </w:r>
      <w:r w:rsidRPr="008D6F84">
        <w:rPr>
          <w:rFonts w:cstheme="minorHAnsi"/>
          <w:sz w:val="20"/>
          <w:szCs w:val="20"/>
        </w:rPr>
      </w:r>
      <w:r w:rsidRPr="008D6F84">
        <w:rPr>
          <w:rFonts w:cstheme="minorHAnsi"/>
          <w:sz w:val="20"/>
          <w:szCs w:val="20"/>
        </w:rPr>
        <w:fldChar w:fldCharType="separate"/>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fldChar w:fldCharType="end"/>
      </w:r>
    </w:p>
    <w:p w:rsidR="00B265F9" w:rsidRPr="00821BD0" w:rsidRDefault="00B265F9" w:rsidP="000A1FB6">
      <w:pPr>
        <w:spacing w:after="0" w:line="240" w:lineRule="auto"/>
        <w:rPr>
          <w:rFonts w:cstheme="minorHAnsi"/>
          <w:sz w:val="20"/>
          <w:szCs w:val="20"/>
        </w:rPr>
      </w:pPr>
    </w:p>
    <w:p w:rsidR="00B265F9" w:rsidRDefault="00A5634F" w:rsidP="00F24233">
      <w:pPr>
        <w:pStyle w:val="ListParagraph"/>
        <w:numPr>
          <w:ilvl w:val="0"/>
          <w:numId w:val="1"/>
        </w:numPr>
        <w:spacing w:after="0" w:line="240" w:lineRule="auto"/>
        <w:rPr>
          <w:rFonts w:cstheme="minorHAnsi"/>
          <w:sz w:val="20"/>
          <w:szCs w:val="20"/>
        </w:rPr>
      </w:pPr>
      <w:r w:rsidRPr="00821BD0">
        <w:rPr>
          <w:rFonts w:cstheme="minorHAnsi"/>
          <w:sz w:val="20"/>
          <w:szCs w:val="20"/>
        </w:rPr>
        <w:t>Professional accomplishment and scholarly contributions may also be required</w:t>
      </w:r>
      <w:r w:rsidR="00B265F9" w:rsidRPr="00821BD0">
        <w:rPr>
          <w:rFonts w:cstheme="minorHAnsi"/>
          <w:sz w:val="20"/>
          <w:szCs w:val="20"/>
        </w:rPr>
        <w:t>:</w:t>
      </w:r>
    </w:p>
    <w:p w:rsidR="00821BD0" w:rsidRPr="00821BD0" w:rsidRDefault="00821BD0" w:rsidP="00821BD0">
      <w:pPr>
        <w:pStyle w:val="ListParagraph"/>
        <w:spacing w:after="0" w:line="240" w:lineRule="auto"/>
        <w:ind w:left="360"/>
        <w:rPr>
          <w:rFonts w:cstheme="minorHAnsi"/>
          <w:sz w:val="20"/>
          <w:szCs w:val="20"/>
        </w:rPr>
      </w:pPr>
      <w:r w:rsidRPr="008D6F84">
        <w:rPr>
          <w:rFonts w:cstheme="minorHAnsi"/>
          <w:sz w:val="20"/>
          <w:szCs w:val="20"/>
        </w:rPr>
        <w:fldChar w:fldCharType="begin">
          <w:ffData>
            <w:name w:val="Text37"/>
            <w:enabled/>
            <w:calcOnExit w:val="0"/>
            <w:textInput/>
          </w:ffData>
        </w:fldChar>
      </w:r>
      <w:r w:rsidRPr="008D6F84">
        <w:rPr>
          <w:rFonts w:cstheme="minorHAnsi"/>
          <w:sz w:val="20"/>
          <w:szCs w:val="20"/>
        </w:rPr>
        <w:instrText xml:space="preserve"> FORMTEXT </w:instrText>
      </w:r>
      <w:r w:rsidRPr="008D6F84">
        <w:rPr>
          <w:rFonts w:cstheme="minorHAnsi"/>
          <w:sz w:val="20"/>
          <w:szCs w:val="20"/>
        </w:rPr>
      </w:r>
      <w:r w:rsidRPr="008D6F84">
        <w:rPr>
          <w:rFonts w:cstheme="minorHAnsi"/>
          <w:sz w:val="20"/>
          <w:szCs w:val="20"/>
        </w:rPr>
        <w:fldChar w:fldCharType="separate"/>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fldChar w:fldCharType="end"/>
      </w:r>
    </w:p>
    <w:p w:rsidR="00B265F9" w:rsidRPr="00821BD0" w:rsidRDefault="00B265F9" w:rsidP="000A1FB6">
      <w:pPr>
        <w:spacing w:after="0" w:line="240" w:lineRule="auto"/>
        <w:rPr>
          <w:rFonts w:cstheme="minorHAnsi"/>
          <w:sz w:val="20"/>
          <w:szCs w:val="20"/>
        </w:rPr>
      </w:pPr>
    </w:p>
    <w:p w:rsidR="007E53EC" w:rsidRDefault="007E53EC" w:rsidP="000A1FB6">
      <w:pPr>
        <w:spacing w:after="0" w:line="240" w:lineRule="auto"/>
        <w:rPr>
          <w:rFonts w:cstheme="minorHAnsi"/>
          <w:sz w:val="20"/>
          <w:szCs w:val="20"/>
        </w:rPr>
      </w:pPr>
      <w:r w:rsidRPr="00821BD0">
        <w:rPr>
          <w:rFonts w:cstheme="minorHAnsi"/>
          <w:b/>
          <w:color w:val="FF0000"/>
          <w:sz w:val="20"/>
          <w:szCs w:val="20"/>
          <w:u w:val="single"/>
        </w:rPr>
        <w:t>CRITERIA FOR EVALUATING PERFORMANCE</w:t>
      </w:r>
      <w:r w:rsidRPr="00821BD0">
        <w:rPr>
          <w:rFonts w:cstheme="minorHAnsi"/>
          <w:b/>
          <w:sz w:val="20"/>
          <w:szCs w:val="20"/>
        </w:rPr>
        <w:t>:</w:t>
      </w:r>
      <w:r w:rsidRPr="00821BD0">
        <w:rPr>
          <w:rFonts w:cstheme="minorHAnsi"/>
          <w:sz w:val="20"/>
          <w:szCs w:val="20"/>
        </w:rPr>
        <w:t xml:space="preserve">  merit increases are based on administrative performance, professional competence and activity, and University and public service.  Professional accomplishment and scholarly achievement should also be considered, if required by the position.</w:t>
      </w:r>
    </w:p>
    <w:p w:rsidR="00821BD0" w:rsidRPr="00821BD0" w:rsidRDefault="00821BD0" w:rsidP="000A1FB6">
      <w:pPr>
        <w:spacing w:after="0" w:line="240" w:lineRule="auto"/>
        <w:rPr>
          <w:rFonts w:cstheme="minorHAnsi"/>
          <w:sz w:val="20"/>
          <w:szCs w:val="20"/>
        </w:rPr>
      </w:pPr>
      <w:r w:rsidRPr="008D6F84">
        <w:rPr>
          <w:rFonts w:cstheme="minorHAnsi"/>
          <w:sz w:val="20"/>
          <w:szCs w:val="20"/>
        </w:rPr>
        <w:fldChar w:fldCharType="begin">
          <w:ffData>
            <w:name w:val="Text37"/>
            <w:enabled/>
            <w:calcOnExit w:val="0"/>
            <w:textInput/>
          </w:ffData>
        </w:fldChar>
      </w:r>
      <w:r w:rsidRPr="008D6F84">
        <w:rPr>
          <w:rFonts w:cstheme="minorHAnsi"/>
          <w:sz w:val="20"/>
          <w:szCs w:val="20"/>
        </w:rPr>
        <w:instrText xml:space="preserve"> FORMTEXT </w:instrText>
      </w:r>
      <w:r w:rsidRPr="008D6F84">
        <w:rPr>
          <w:rFonts w:cstheme="minorHAnsi"/>
          <w:sz w:val="20"/>
          <w:szCs w:val="20"/>
        </w:rPr>
      </w:r>
      <w:r w:rsidRPr="008D6F84">
        <w:rPr>
          <w:rFonts w:cstheme="minorHAnsi"/>
          <w:sz w:val="20"/>
          <w:szCs w:val="20"/>
        </w:rPr>
        <w:fldChar w:fldCharType="separate"/>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fldChar w:fldCharType="end"/>
      </w:r>
    </w:p>
    <w:p w:rsidR="002D35B9" w:rsidRPr="00821BD0" w:rsidRDefault="002D35B9" w:rsidP="000A1FB6">
      <w:pPr>
        <w:spacing w:after="0" w:line="240" w:lineRule="auto"/>
        <w:rPr>
          <w:rFonts w:cstheme="minorHAnsi"/>
          <w:sz w:val="20"/>
          <w:szCs w:val="20"/>
        </w:rPr>
      </w:pPr>
    </w:p>
    <w:p w:rsidR="002D35B9" w:rsidRDefault="002D35B9" w:rsidP="000A1FB6">
      <w:pPr>
        <w:spacing w:after="0" w:line="240" w:lineRule="auto"/>
        <w:rPr>
          <w:rFonts w:cstheme="minorHAnsi"/>
          <w:b/>
          <w:sz w:val="20"/>
          <w:szCs w:val="20"/>
        </w:rPr>
      </w:pPr>
      <w:r w:rsidRPr="00821BD0">
        <w:rPr>
          <w:rFonts w:cstheme="minorHAnsi"/>
          <w:b/>
          <w:sz w:val="20"/>
          <w:szCs w:val="20"/>
        </w:rPr>
        <w:t>Other responsibilities if applicable:</w:t>
      </w:r>
    </w:p>
    <w:p w:rsidR="00821BD0" w:rsidRPr="00821BD0" w:rsidRDefault="00821BD0" w:rsidP="000A1FB6">
      <w:pPr>
        <w:spacing w:after="0" w:line="240" w:lineRule="auto"/>
        <w:rPr>
          <w:rFonts w:cstheme="minorHAnsi"/>
          <w:b/>
          <w:sz w:val="20"/>
          <w:szCs w:val="20"/>
        </w:rPr>
      </w:pPr>
      <w:r w:rsidRPr="008D6F84">
        <w:rPr>
          <w:rFonts w:cstheme="minorHAnsi"/>
          <w:sz w:val="20"/>
          <w:szCs w:val="20"/>
        </w:rPr>
        <w:fldChar w:fldCharType="begin">
          <w:ffData>
            <w:name w:val="Text37"/>
            <w:enabled/>
            <w:calcOnExit w:val="0"/>
            <w:textInput/>
          </w:ffData>
        </w:fldChar>
      </w:r>
      <w:r w:rsidRPr="008D6F84">
        <w:rPr>
          <w:rFonts w:cstheme="minorHAnsi"/>
          <w:sz w:val="20"/>
          <w:szCs w:val="20"/>
        </w:rPr>
        <w:instrText xml:space="preserve"> FORMTEXT </w:instrText>
      </w:r>
      <w:r w:rsidRPr="008D6F84">
        <w:rPr>
          <w:rFonts w:cstheme="minorHAnsi"/>
          <w:sz w:val="20"/>
          <w:szCs w:val="20"/>
        </w:rPr>
      </w:r>
      <w:r w:rsidRPr="008D6F84">
        <w:rPr>
          <w:rFonts w:cstheme="minorHAnsi"/>
          <w:sz w:val="20"/>
          <w:szCs w:val="20"/>
        </w:rPr>
        <w:fldChar w:fldCharType="separate"/>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t> </w:t>
      </w:r>
      <w:r w:rsidRPr="008D6F84">
        <w:rPr>
          <w:rFonts w:cstheme="minorHAnsi"/>
          <w:sz w:val="20"/>
          <w:szCs w:val="20"/>
        </w:rPr>
        <w:fldChar w:fldCharType="end"/>
      </w:r>
    </w:p>
    <w:p w:rsidR="002D35B9" w:rsidRPr="00821BD0" w:rsidRDefault="002D35B9" w:rsidP="000A1FB6">
      <w:pPr>
        <w:spacing w:after="0" w:line="240" w:lineRule="auto"/>
        <w:rPr>
          <w:rFonts w:cstheme="minorHAnsi"/>
          <w:sz w:val="20"/>
          <w:szCs w:val="20"/>
        </w:rPr>
      </w:pP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2880"/>
      </w:tblGrid>
      <w:tr w:rsidR="00821BD0" w:rsidTr="006044B1">
        <w:tc>
          <w:tcPr>
            <w:tcW w:w="4320" w:type="dxa"/>
            <w:tcBorders>
              <w:bottom w:val="single" w:sz="4" w:space="0" w:color="auto"/>
            </w:tcBorders>
          </w:tcPr>
          <w:p w:rsidR="00821BD0" w:rsidRDefault="00821BD0" w:rsidP="006044B1">
            <w:pPr>
              <w:rPr>
                <w:rFonts w:asciiTheme="minorHAnsi" w:hAnsiTheme="minorHAnsi" w:cstheme="minorHAnsi"/>
              </w:rPr>
            </w:pPr>
          </w:p>
        </w:tc>
        <w:tc>
          <w:tcPr>
            <w:tcW w:w="720" w:type="dxa"/>
          </w:tcPr>
          <w:p w:rsidR="00821BD0" w:rsidRDefault="00821BD0" w:rsidP="006044B1">
            <w:pPr>
              <w:rPr>
                <w:rFonts w:asciiTheme="minorHAnsi" w:hAnsiTheme="minorHAnsi" w:cstheme="minorHAnsi"/>
              </w:rPr>
            </w:pPr>
          </w:p>
        </w:tc>
        <w:tc>
          <w:tcPr>
            <w:tcW w:w="2880" w:type="dxa"/>
            <w:tcBorders>
              <w:bottom w:val="single" w:sz="4" w:space="0" w:color="auto"/>
            </w:tcBorders>
          </w:tcPr>
          <w:p w:rsidR="00821BD0" w:rsidRDefault="00821BD0" w:rsidP="006044B1">
            <w:pPr>
              <w:rPr>
                <w:rFonts w:asciiTheme="minorHAnsi" w:hAnsiTheme="minorHAnsi" w:cstheme="minorHAnsi"/>
              </w:rPr>
            </w:pPr>
          </w:p>
        </w:tc>
      </w:tr>
      <w:tr w:rsidR="00821BD0" w:rsidTr="006044B1">
        <w:tc>
          <w:tcPr>
            <w:tcW w:w="4320" w:type="dxa"/>
            <w:tcBorders>
              <w:top w:val="single" w:sz="4" w:space="0" w:color="auto"/>
            </w:tcBorders>
          </w:tcPr>
          <w:p w:rsidR="00821BD0" w:rsidRDefault="00821BD0" w:rsidP="006044B1">
            <w:pPr>
              <w:rPr>
                <w:rFonts w:asciiTheme="minorHAnsi" w:hAnsiTheme="minorHAnsi" w:cstheme="minorHAnsi"/>
              </w:rPr>
            </w:pPr>
            <w:r w:rsidRPr="009C2705">
              <w:rPr>
                <w:rFonts w:asciiTheme="minorHAnsi" w:hAnsiTheme="minorHAnsi" w:cstheme="minorHAnsi"/>
              </w:rPr>
              <w:t>Candidate’s Signature</w:t>
            </w:r>
          </w:p>
        </w:tc>
        <w:tc>
          <w:tcPr>
            <w:tcW w:w="720" w:type="dxa"/>
          </w:tcPr>
          <w:p w:rsidR="00821BD0" w:rsidRDefault="00821BD0" w:rsidP="006044B1">
            <w:pPr>
              <w:rPr>
                <w:rFonts w:asciiTheme="minorHAnsi" w:hAnsiTheme="minorHAnsi" w:cstheme="minorHAnsi"/>
              </w:rPr>
            </w:pPr>
          </w:p>
        </w:tc>
        <w:tc>
          <w:tcPr>
            <w:tcW w:w="2880" w:type="dxa"/>
            <w:tcBorders>
              <w:top w:val="single" w:sz="4" w:space="0" w:color="auto"/>
            </w:tcBorders>
          </w:tcPr>
          <w:p w:rsidR="00821BD0" w:rsidRDefault="00821BD0" w:rsidP="006044B1">
            <w:pPr>
              <w:rPr>
                <w:rFonts w:asciiTheme="minorHAnsi" w:hAnsiTheme="minorHAnsi" w:cstheme="minorHAnsi"/>
              </w:rPr>
            </w:pPr>
            <w:r w:rsidRPr="009C2705">
              <w:rPr>
                <w:rFonts w:asciiTheme="minorHAnsi" w:hAnsiTheme="minorHAnsi" w:cstheme="minorHAnsi"/>
              </w:rPr>
              <w:t>Date</w:t>
            </w:r>
          </w:p>
        </w:tc>
      </w:tr>
    </w:tbl>
    <w:p w:rsidR="00821BD0" w:rsidRDefault="00821BD0" w:rsidP="00821BD0">
      <w:pPr>
        <w:rPr>
          <w:rFonts w:cstheme="minorHAnsi"/>
          <w:sz w:val="20"/>
          <w:szCs w:val="20"/>
        </w:rPr>
      </w:pP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2880"/>
      </w:tblGrid>
      <w:tr w:rsidR="00821BD0" w:rsidTr="006044B1">
        <w:tc>
          <w:tcPr>
            <w:tcW w:w="4320" w:type="dxa"/>
            <w:tcBorders>
              <w:bottom w:val="single" w:sz="4" w:space="0" w:color="auto"/>
            </w:tcBorders>
          </w:tcPr>
          <w:p w:rsidR="00821BD0" w:rsidRDefault="00821BD0" w:rsidP="006044B1">
            <w:pPr>
              <w:rPr>
                <w:rFonts w:asciiTheme="minorHAnsi" w:hAnsiTheme="minorHAnsi" w:cstheme="minorHAnsi"/>
              </w:rPr>
            </w:pPr>
          </w:p>
        </w:tc>
        <w:tc>
          <w:tcPr>
            <w:tcW w:w="720" w:type="dxa"/>
          </w:tcPr>
          <w:p w:rsidR="00821BD0" w:rsidRDefault="00821BD0" w:rsidP="006044B1">
            <w:pPr>
              <w:rPr>
                <w:rFonts w:asciiTheme="minorHAnsi" w:hAnsiTheme="minorHAnsi" w:cstheme="minorHAnsi"/>
              </w:rPr>
            </w:pPr>
          </w:p>
        </w:tc>
        <w:tc>
          <w:tcPr>
            <w:tcW w:w="2880" w:type="dxa"/>
            <w:tcBorders>
              <w:bottom w:val="single" w:sz="4" w:space="0" w:color="auto"/>
            </w:tcBorders>
          </w:tcPr>
          <w:p w:rsidR="00821BD0" w:rsidRDefault="00821BD0" w:rsidP="006044B1">
            <w:pPr>
              <w:rPr>
                <w:rFonts w:asciiTheme="minorHAnsi" w:hAnsiTheme="minorHAnsi" w:cstheme="minorHAnsi"/>
              </w:rPr>
            </w:pPr>
          </w:p>
        </w:tc>
      </w:tr>
      <w:tr w:rsidR="00821BD0" w:rsidTr="006044B1">
        <w:tc>
          <w:tcPr>
            <w:tcW w:w="4320" w:type="dxa"/>
            <w:tcBorders>
              <w:top w:val="single" w:sz="4" w:space="0" w:color="auto"/>
            </w:tcBorders>
          </w:tcPr>
          <w:p w:rsidR="00821BD0" w:rsidRDefault="00821BD0" w:rsidP="006044B1">
            <w:pPr>
              <w:rPr>
                <w:rFonts w:asciiTheme="minorHAnsi" w:hAnsiTheme="minorHAnsi" w:cstheme="minorHAnsi"/>
              </w:rPr>
            </w:pPr>
            <w:r w:rsidRPr="009C2705">
              <w:rPr>
                <w:rFonts w:asciiTheme="minorHAnsi" w:hAnsiTheme="minorHAnsi" w:cstheme="minorHAnsi"/>
              </w:rPr>
              <w:t>Supervisor’s Signature</w:t>
            </w:r>
          </w:p>
        </w:tc>
        <w:tc>
          <w:tcPr>
            <w:tcW w:w="720" w:type="dxa"/>
          </w:tcPr>
          <w:p w:rsidR="00821BD0" w:rsidRDefault="00821BD0" w:rsidP="006044B1">
            <w:pPr>
              <w:rPr>
                <w:rFonts w:asciiTheme="minorHAnsi" w:hAnsiTheme="minorHAnsi" w:cstheme="minorHAnsi"/>
              </w:rPr>
            </w:pPr>
          </w:p>
        </w:tc>
        <w:tc>
          <w:tcPr>
            <w:tcW w:w="2880" w:type="dxa"/>
            <w:tcBorders>
              <w:top w:val="single" w:sz="4" w:space="0" w:color="auto"/>
            </w:tcBorders>
          </w:tcPr>
          <w:p w:rsidR="00821BD0" w:rsidRDefault="00821BD0" w:rsidP="006044B1">
            <w:pPr>
              <w:rPr>
                <w:rFonts w:asciiTheme="minorHAnsi" w:hAnsiTheme="minorHAnsi" w:cstheme="minorHAnsi"/>
              </w:rPr>
            </w:pPr>
            <w:r w:rsidRPr="009C2705">
              <w:rPr>
                <w:rFonts w:asciiTheme="minorHAnsi" w:hAnsiTheme="minorHAnsi" w:cstheme="minorHAnsi"/>
              </w:rPr>
              <w:t>Date</w:t>
            </w:r>
          </w:p>
        </w:tc>
      </w:tr>
    </w:tbl>
    <w:p w:rsidR="00B265F9" w:rsidRPr="00821BD0" w:rsidRDefault="00B265F9" w:rsidP="000A1FB6">
      <w:pPr>
        <w:spacing w:after="0" w:line="240" w:lineRule="auto"/>
        <w:rPr>
          <w:rFonts w:cstheme="minorHAnsi"/>
          <w:b/>
          <w:sz w:val="20"/>
          <w:szCs w:val="20"/>
        </w:rPr>
      </w:pPr>
      <w:bookmarkStart w:id="0" w:name="_GoBack"/>
      <w:bookmarkEnd w:id="0"/>
    </w:p>
    <w:sectPr w:rsidR="00B265F9" w:rsidRPr="00821BD0" w:rsidSect="00821BD0">
      <w:headerReference w:type="default" r:id="rId7"/>
      <w:footerReference w:type="default" r:id="rId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D0" w:rsidRDefault="00821BD0" w:rsidP="00821BD0">
      <w:pPr>
        <w:spacing w:after="0" w:line="240" w:lineRule="auto"/>
      </w:pPr>
      <w:r>
        <w:separator/>
      </w:r>
    </w:p>
  </w:endnote>
  <w:endnote w:type="continuationSeparator" w:id="0">
    <w:p w:rsidR="00821BD0" w:rsidRDefault="00821BD0" w:rsidP="0082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D0" w:rsidRDefault="00821BD0" w:rsidP="00821BD0">
    <w:pPr>
      <w:pStyle w:val="Footer"/>
      <w:tabs>
        <w:tab w:val="clear" w:pos="4680"/>
        <w:tab w:val="clear" w:pos="9360"/>
      </w:tabs>
      <w:jc w:val="center"/>
      <w:rPr>
        <w:i/>
      </w:rPr>
    </w:pPr>
    <w:r w:rsidRPr="006E2F82">
      <w:rPr>
        <w:i/>
        <w:color w:val="FF0000"/>
      </w:rPr>
      <w:t>Please allow 5 – 7 business days for approval; at least 45 days if union notification is required</w:t>
    </w:r>
    <w:r>
      <w:rPr>
        <w:i/>
        <w:color w:val="FF0000"/>
      </w:rPr>
      <w:tab/>
    </w:r>
    <w:r>
      <w:rPr>
        <w:i/>
        <w:sz w:val="18"/>
        <w:szCs w:val="18"/>
      </w:rPr>
      <w:t>Updated: 11-07-18</w:t>
    </w:r>
  </w:p>
  <w:p w:rsidR="00821BD0" w:rsidRPr="00821BD0" w:rsidRDefault="00821BD0" w:rsidP="00821BD0">
    <w:pPr>
      <w:pStyle w:val="Footer"/>
      <w:rPr>
        <w:i/>
        <w:lang w:val="x-none"/>
      </w:rPr>
    </w:pPr>
    <w:r>
      <w:rPr>
        <w:i/>
        <w:sz w:val="16"/>
        <w:szCs w:val="16"/>
      </w:rPr>
      <w:t>NOTE: If union notification is required, the approval process may take up to the number days required to notify the union per the bargaining unit agreement.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D0" w:rsidRDefault="00821BD0" w:rsidP="00821BD0">
      <w:pPr>
        <w:spacing w:after="0" w:line="240" w:lineRule="auto"/>
      </w:pPr>
      <w:r>
        <w:separator/>
      </w:r>
    </w:p>
  </w:footnote>
  <w:footnote w:type="continuationSeparator" w:id="0">
    <w:p w:rsidR="00821BD0" w:rsidRDefault="00821BD0" w:rsidP="0082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D0" w:rsidRPr="00821BD0" w:rsidRDefault="00821BD0" w:rsidP="00821BD0">
    <w:pPr>
      <w:spacing w:after="0" w:line="240" w:lineRule="auto"/>
      <w:jc w:val="center"/>
      <w:rPr>
        <w:rFonts w:ascii="Calibri" w:hAnsi="Calibri"/>
        <w:sz w:val="24"/>
      </w:rPr>
    </w:pPr>
    <w:r w:rsidRPr="00821BD0">
      <w:rPr>
        <w:rFonts w:ascii="Calibri" w:hAnsi="Calibri"/>
        <w:sz w:val="24"/>
      </w:rPr>
      <w:t>COLLEGE OF NATURAL &amp; AGRICULTURAL SCIENCES</w:t>
    </w:r>
  </w:p>
  <w:p w:rsidR="00821BD0" w:rsidRPr="00821BD0" w:rsidRDefault="00821BD0" w:rsidP="00821BD0">
    <w:pPr>
      <w:spacing w:after="0" w:line="240" w:lineRule="auto"/>
      <w:jc w:val="center"/>
      <w:rPr>
        <w:sz w:val="24"/>
      </w:rPr>
    </w:pPr>
    <w:r w:rsidRPr="00821BD0">
      <w:rPr>
        <w:rFonts w:ascii="Calibri" w:hAnsi="Calibri"/>
        <w:b/>
        <w:bCs/>
        <w:color w:val="548DD4"/>
        <w:sz w:val="24"/>
      </w:rPr>
      <w:t>ACADEMIC COORDINATOR SERIES (APM 375)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A2A5B"/>
    <w:multiLevelType w:val="hybridMultilevel"/>
    <w:tmpl w:val="EB98C9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F9"/>
    <w:rsid w:val="000A1FB6"/>
    <w:rsid w:val="00167526"/>
    <w:rsid w:val="001E2E6D"/>
    <w:rsid w:val="002D35B9"/>
    <w:rsid w:val="00352462"/>
    <w:rsid w:val="003D1080"/>
    <w:rsid w:val="00486FEC"/>
    <w:rsid w:val="00545BAF"/>
    <w:rsid w:val="006C6C79"/>
    <w:rsid w:val="007E53EC"/>
    <w:rsid w:val="00821BD0"/>
    <w:rsid w:val="00952927"/>
    <w:rsid w:val="00A5634F"/>
    <w:rsid w:val="00AF0C70"/>
    <w:rsid w:val="00B265F9"/>
    <w:rsid w:val="00E148A7"/>
    <w:rsid w:val="00F053A1"/>
    <w:rsid w:val="00F2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C80E7"/>
  <w15:docId w15:val="{5B33901A-0C7E-448D-9F82-E10A65D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233"/>
    <w:pPr>
      <w:ind w:left="720"/>
      <w:contextualSpacing/>
    </w:pPr>
  </w:style>
  <w:style w:type="paragraph" w:styleId="Header">
    <w:name w:val="header"/>
    <w:basedOn w:val="Normal"/>
    <w:link w:val="HeaderChar"/>
    <w:uiPriority w:val="99"/>
    <w:unhideWhenUsed/>
    <w:rsid w:val="0082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BD0"/>
  </w:style>
  <w:style w:type="paragraph" w:styleId="Footer">
    <w:name w:val="footer"/>
    <w:basedOn w:val="Normal"/>
    <w:link w:val="FooterChar"/>
    <w:uiPriority w:val="99"/>
    <w:unhideWhenUsed/>
    <w:rsid w:val="0082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BD0"/>
  </w:style>
  <w:style w:type="table" w:styleId="TableGrid">
    <w:name w:val="Table Grid"/>
    <w:basedOn w:val="TableNormal"/>
    <w:uiPriority w:val="59"/>
    <w:rsid w:val="00821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APSU</dc:creator>
  <cp:lastModifiedBy>Eric M Chong</cp:lastModifiedBy>
  <cp:revision>4</cp:revision>
  <dcterms:created xsi:type="dcterms:W3CDTF">2012-11-02T17:06:00Z</dcterms:created>
  <dcterms:modified xsi:type="dcterms:W3CDTF">2019-03-04T21:41:00Z</dcterms:modified>
</cp:coreProperties>
</file>